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5D6F" w14:textId="486F5721" w:rsidR="00DB6C80" w:rsidRPr="0066750F" w:rsidRDefault="00DB6C80" w:rsidP="00DB6C80">
      <w:pPr>
        <w:pStyle w:val="CRCoverPage"/>
        <w:tabs>
          <w:tab w:val="right" w:pos="9639"/>
        </w:tabs>
        <w:spacing w:after="0"/>
        <w:rPr>
          <w:b/>
          <w:i/>
          <w:noProof/>
          <w:sz w:val="28"/>
        </w:rPr>
      </w:pPr>
      <w:r w:rsidRPr="0066750F">
        <w:rPr>
          <w:b/>
          <w:noProof/>
          <w:sz w:val="24"/>
        </w:rPr>
        <w:t>3GPP RAN4 Meeting #</w:t>
      </w:r>
      <w:r>
        <w:rPr>
          <w:b/>
          <w:noProof/>
          <w:sz w:val="24"/>
        </w:rPr>
        <w:t>107</w:t>
      </w:r>
      <w:r w:rsidRPr="0066750F">
        <w:rPr>
          <w:b/>
          <w:i/>
          <w:noProof/>
          <w:sz w:val="28"/>
        </w:rPr>
        <w:tab/>
      </w:r>
      <w:r w:rsidRPr="0066750F">
        <w:rPr>
          <w:b/>
          <w:bCs/>
          <w:noProof/>
          <w:sz w:val="24"/>
        </w:rPr>
        <w:t>R4-</w:t>
      </w:r>
      <w:r w:rsidR="00B90414">
        <w:rPr>
          <w:b/>
          <w:bCs/>
          <w:noProof/>
          <w:sz w:val="24"/>
        </w:rPr>
        <w:t>2309019</w:t>
      </w:r>
    </w:p>
    <w:p w14:paraId="115F31FC" w14:textId="77777777" w:rsidR="00DB6C80" w:rsidRDefault="00DB6C80" w:rsidP="00DB6C80">
      <w:pPr>
        <w:pStyle w:val="CRCoverPage"/>
        <w:outlineLvl w:val="0"/>
        <w:rPr>
          <w:b/>
          <w:noProof/>
          <w:sz w:val="24"/>
        </w:rPr>
      </w:pPr>
      <w:r>
        <w:rPr>
          <w:b/>
          <w:noProof/>
          <w:sz w:val="24"/>
        </w:rPr>
        <w:t>Incheon, Korea</w:t>
      </w:r>
      <w:r w:rsidRPr="0066750F">
        <w:rPr>
          <w:b/>
          <w:noProof/>
          <w:sz w:val="24"/>
        </w:rPr>
        <w:t xml:space="preserve">, </w:t>
      </w:r>
      <w:r>
        <w:rPr>
          <w:b/>
          <w:noProof/>
          <w:sz w:val="24"/>
        </w:rPr>
        <w:t>May</w:t>
      </w:r>
      <w:r w:rsidRPr="0066750F">
        <w:rPr>
          <w:b/>
          <w:noProof/>
          <w:sz w:val="24"/>
        </w:rPr>
        <w:t xml:space="preserve"> </w:t>
      </w:r>
      <w:r>
        <w:rPr>
          <w:b/>
          <w:noProof/>
          <w:sz w:val="24"/>
        </w:rPr>
        <w:t>22nd</w:t>
      </w:r>
      <w:r w:rsidRPr="0066750F">
        <w:rPr>
          <w:b/>
          <w:noProof/>
          <w:sz w:val="24"/>
        </w:rPr>
        <w:t xml:space="preserve"> – 26th, 2023</w:t>
      </w:r>
    </w:p>
    <w:p w14:paraId="0C0D4F0A" w14:textId="77777777" w:rsidR="00DB6C80" w:rsidRDefault="00DB6C80" w:rsidP="00DB6C80">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759DF8D6" w14:textId="7569537D" w:rsidR="00DB6C80" w:rsidRDefault="00DB6C80" w:rsidP="00DB6C80">
      <w:pPr>
        <w:tabs>
          <w:tab w:val="left" w:pos="1985"/>
        </w:tabs>
        <w:jc w:val="both"/>
        <w:rPr>
          <w:rFonts w:ascii="Arial" w:hAnsi="Arial" w:cs="Arial"/>
          <w:lang w:eastAsia="zh-CN"/>
        </w:rPr>
      </w:pPr>
      <w:r>
        <w:rPr>
          <w:rFonts w:ascii="Arial" w:hAnsi="Arial" w:cs="Arial"/>
          <w:b/>
        </w:rPr>
        <w:t xml:space="preserve">Title: </w:t>
      </w:r>
      <w:r>
        <w:rPr>
          <w:rFonts w:ascii="Arial" w:hAnsi="Arial" w:cs="Arial"/>
          <w:b/>
        </w:rPr>
        <w:tab/>
      </w:r>
      <w:r w:rsidRPr="00DB6C80">
        <w:rPr>
          <w:rFonts w:ascii="Arial" w:hAnsi="Arial" w:cs="Arial"/>
          <w:lang w:eastAsia="zh-CN"/>
        </w:rPr>
        <w:t>TP to TR 38.858 feasibility of and impact on FR2 UE RF requirements</w:t>
      </w:r>
    </w:p>
    <w:p w14:paraId="48603183" w14:textId="49867C76" w:rsidR="00DB6C80" w:rsidRDefault="00DB6C80" w:rsidP="00DB6C80">
      <w:pPr>
        <w:tabs>
          <w:tab w:val="left" w:pos="1985"/>
        </w:tabs>
        <w:jc w:val="both"/>
        <w:rPr>
          <w:rFonts w:ascii="Arial" w:hAnsi="Arial" w:cs="Arial"/>
          <w:lang w:eastAsia="zh-CN"/>
        </w:rPr>
      </w:pPr>
      <w:r>
        <w:rPr>
          <w:rFonts w:ascii="Arial" w:hAnsi="Arial" w:cs="Arial"/>
          <w:b/>
        </w:rPr>
        <w:t>Agenda Item:</w:t>
      </w:r>
      <w:r>
        <w:rPr>
          <w:rFonts w:ascii="Arial" w:hAnsi="Arial" w:cs="Arial"/>
          <w:b/>
        </w:rPr>
        <w:tab/>
      </w:r>
      <w:r>
        <w:rPr>
          <w:rFonts w:ascii="Arial" w:hAnsi="Arial" w:cs="Arial"/>
          <w:lang w:eastAsia="zh-CN"/>
        </w:rPr>
        <w:t>8.20.2.2.4</w:t>
      </w:r>
    </w:p>
    <w:p w14:paraId="2D584D87" w14:textId="77777777" w:rsidR="00DB6C80" w:rsidRDefault="00DB6C80" w:rsidP="00DB6C80">
      <w:pPr>
        <w:tabs>
          <w:tab w:val="left" w:pos="1985"/>
        </w:tabs>
        <w:jc w:val="both"/>
        <w:rPr>
          <w:rFonts w:ascii="Arial" w:hAnsi="Arial" w:cs="Arial"/>
          <w:lang w:eastAsia="zh-CN"/>
        </w:rPr>
      </w:pPr>
      <w:r>
        <w:rPr>
          <w:rFonts w:ascii="Arial" w:hAnsi="Arial" w:cs="Arial"/>
          <w:b/>
        </w:rPr>
        <w:t xml:space="preserve">Source: </w:t>
      </w:r>
      <w:r>
        <w:rPr>
          <w:rFonts w:ascii="Arial" w:hAnsi="Arial" w:cs="Arial"/>
          <w:b/>
        </w:rPr>
        <w:tab/>
      </w:r>
      <w:r>
        <w:rPr>
          <w:rFonts w:ascii="Arial" w:hAnsi="Arial" w:cs="Arial"/>
          <w:lang w:eastAsia="zh-CN"/>
        </w:rPr>
        <w:t>Qualcomm Incorporated</w:t>
      </w:r>
    </w:p>
    <w:p w14:paraId="2FA2ECD7" w14:textId="77777777" w:rsidR="00DB6C80" w:rsidRDefault="00DB6C80" w:rsidP="00DB6C80">
      <w:pPr>
        <w:tabs>
          <w:tab w:val="left" w:pos="1985"/>
        </w:tabs>
        <w:jc w:val="both"/>
        <w:rPr>
          <w:rFonts w:ascii="Arial" w:hAnsi="Arial" w:cs="Arial"/>
          <w:lang w:eastAsia="zh-CN"/>
        </w:rPr>
      </w:pPr>
      <w:r>
        <w:rPr>
          <w:rFonts w:ascii="Arial" w:hAnsi="Arial" w:cs="Arial"/>
          <w:b/>
        </w:rPr>
        <w:t>Document for:</w:t>
      </w:r>
      <w:r>
        <w:rPr>
          <w:rFonts w:ascii="Arial" w:hAnsi="Arial" w:cs="Arial"/>
          <w:b/>
        </w:rPr>
        <w:tab/>
      </w:r>
      <w:r>
        <w:rPr>
          <w:rFonts w:ascii="Arial" w:hAnsi="Arial" w:cs="Arial"/>
          <w:lang w:eastAsia="zh-CN"/>
        </w:rPr>
        <w:t>Approval</w:t>
      </w:r>
    </w:p>
    <w:p w14:paraId="1AD98703" w14:textId="77777777" w:rsidR="003360CC" w:rsidRDefault="003360CC" w:rsidP="2E9379FE">
      <w:pPr>
        <w:spacing w:line="257" w:lineRule="auto"/>
        <w:ind w:left="1985" w:hanging="1985"/>
        <w:rPr>
          <w:rFonts w:ascii="Arial" w:eastAsia="Arial" w:hAnsi="Arial" w:cs="Arial"/>
          <w:b/>
          <w:bCs/>
          <w:color w:val="000000" w:themeColor="text1"/>
        </w:rPr>
      </w:pPr>
    </w:p>
    <w:p w14:paraId="4989B717" w14:textId="77777777" w:rsidR="005973BC" w:rsidRDefault="005973BC" w:rsidP="2E9379FE">
      <w:pPr>
        <w:spacing w:line="257" w:lineRule="auto"/>
        <w:ind w:left="1985" w:hanging="1985"/>
      </w:pPr>
    </w:p>
    <w:p w14:paraId="2DAC417F" w14:textId="262CB406" w:rsidR="00A45D70" w:rsidRDefault="0B302ED9" w:rsidP="2E9379FE">
      <w:pPr>
        <w:pStyle w:val="Heading1"/>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40F1C1F6" w14:textId="262CB406" w:rsidR="00A45D70" w:rsidRDefault="0B302ED9" w:rsidP="2E9379FE">
      <w:pPr>
        <w:spacing w:line="257" w:lineRule="auto"/>
        <w:jc w:val="both"/>
      </w:pPr>
      <w:r w:rsidRPr="2E9379FE">
        <w:rPr>
          <w:rFonts w:ascii="Times New Roman" w:eastAsia="Times New Roman" w:hAnsi="Times New Roman" w:cs="Times New Roman"/>
          <w:sz w:val="20"/>
          <w:szCs w:val="20"/>
        </w:rPr>
        <w:t>In this document we propose text to capture some of the agreements that have been made in previous meetings and discussions.</w:t>
      </w:r>
    </w:p>
    <w:p w14:paraId="353A9A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In the last meeting, the skeleton of RAN4 part for TR 38.858 was agreed as follows:</w:t>
      </w:r>
    </w:p>
    <w:tbl>
      <w:tblPr>
        <w:tblW w:w="0" w:type="auto"/>
        <w:tblLayout w:type="fixed"/>
        <w:tblLook w:val="04A0" w:firstRow="1" w:lastRow="0" w:firstColumn="1" w:lastColumn="0" w:noHBand="0" w:noVBand="1"/>
      </w:tblPr>
      <w:tblGrid>
        <w:gridCol w:w="675"/>
        <w:gridCol w:w="7395"/>
      </w:tblGrid>
      <w:tr w:rsidR="2E9379FE" w14:paraId="02EDDEE4"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C991665" w14:textId="14B176FD"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No.</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FF0BAB" w14:textId="3709CAA6"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Section for TR 38.858</w:t>
            </w:r>
          </w:p>
        </w:tc>
      </w:tr>
      <w:tr w:rsidR="2E9379FE" w14:paraId="4BC860F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7831135" w14:textId="38C4E06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429201D" w14:textId="0460FAF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10.1 Background for analysis</w:t>
            </w:r>
          </w:p>
        </w:tc>
      </w:tr>
      <w:tr w:rsidR="2E9379FE" w14:paraId="5F45A82D"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EEB590A" w14:textId="1F6028C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33D8A74" w14:textId="54538639"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10.2 Feasibility of FR1 Wide Area BS aspects</w:t>
            </w:r>
          </w:p>
        </w:tc>
      </w:tr>
      <w:tr w:rsidR="2E9379FE" w14:paraId="2EF6037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CD25FF" w14:textId="0433D0A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5B1CC63C" w14:textId="72C5167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10.3 Feasibility of FR1 Medium Range BS aspects</w:t>
            </w:r>
          </w:p>
        </w:tc>
      </w:tr>
      <w:tr w:rsidR="2E9379FE" w14:paraId="68B5C23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96061DB" w14:textId="3CD00A6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4</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6F367B" w14:textId="505BB26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10.4 Feasibility of FR1 Local Area BS aspects</w:t>
            </w:r>
          </w:p>
        </w:tc>
      </w:tr>
      <w:tr w:rsidR="2E9379FE" w14:paraId="5DD7753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509ACE1" w14:textId="07065E4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5</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625579E" w14:textId="2AEE689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10.5 Feasibility of FR2 BS aspects</w:t>
            </w:r>
          </w:p>
        </w:tc>
      </w:tr>
      <w:tr w:rsidR="2E9379FE" w14:paraId="2E63ED36" w14:textId="77777777" w:rsidTr="2E9379FE">
        <w:trPr>
          <w:trHeight w:val="12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26B3945" w14:textId="397EA22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6</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5371955" w14:textId="6FCCEF7E"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10.6. FR1 Feasibility of UE aspects</w:t>
            </w:r>
          </w:p>
        </w:tc>
      </w:tr>
      <w:tr w:rsidR="2E9379FE" w14:paraId="3B57FF9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35D300A" w14:textId="11D85FB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7</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1F42696B" w14:textId="40A541F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10.7 FR2 Feasibility of UE aspects</w:t>
            </w:r>
          </w:p>
        </w:tc>
      </w:tr>
      <w:tr w:rsidR="2E9379FE" w14:paraId="7C0D75D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9BAABA4" w14:textId="61DF109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8</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E4F857E" w14:textId="33E2720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10.8 Summary</w:t>
            </w:r>
          </w:p>
        </w:tc>
      </w:tr>
      <w:tr w:rsidR="2E9379FE" w14:paraId="0ED12893"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FC4CB0F" w14:textId="4E8B4B1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9</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C0A5252" w14:textId="5634B648"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11.1 Impact on BS RF requirements</w:t>
            </w:r>
          </w:p>
        </w:tc>
      </w:tr>
      <w:tr w:rsidR="2E9379FE" w14:paraId="30218686"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13E63" w14:textId="5DF53272"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D955BF8" w14:textId="5FC4F20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11.2 Impact on UE RF requirements</w:t>
            </w:r>
          </w:p>
        </w:tc>
      </w:tr>
      <w:tr w:rsidR="2E9379FE" w14:paraId="5585BAD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07FCD87" w14:textId="5816EEA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06639E7" w14:textId="36EF7FE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 Adjacent channel co-existence evaluation results</w:t>
            </w:r>
          </w:p>
        </w:tc>
      </w:tr>
      <w:tr w:rsidR="2E9379FE" w14:paraId="02A8B5CF"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97815A4" w14:textId="4BABB63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2C4EABF" w14:textId="3F28EF9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 Regulatory aspects for deploying the duplex enhancements in TDD unpaired spectrum</w:t>
            </w:r>
          </w:p>
        </w:tc>
      </w:tr>
      <w:tr w:rsidR="2E9379FE" w14:paraId="62D4016C"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65AA288" w14:textId="3F48CB3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56AC4B7" w14:textId="6EBFD28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Annex &lt;D&gt;: Adjacent channel co-existence evaluation</w:t>
            </w:r>
          </w:p>
        </w:tc>
      </w:tr>
    </w:tbl>
    <w:p w14:paraId="38176F92"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7CEAD16D" w14:textId="7568A4E5" w:rsidR="00A45D70" w:rsidRDefault="004A2771" w:rsidP="2E9379FE">
      <w:pPr>
        <w:spacing w:line="257" w:lineRule="auto"/>
      </w:pPr>
      <w:r>
        <w:rPr>
          <w:rFonts w:ascii="Times New Roman" w:eastAsia="Times New Roman" w:hAnsi="Times New Roman" w:cs="Times New Roman"/>
          <w:sz w:val="20"/>
          <w:szCs w:val="20"/>
        </w:rPr>
        <w:t xml:space="preserve">This proposal updates the TR with some of the </w:t>
      </w:r>
      <w:r w:rsidR="00672FEA">
        <w:rPr>
          <w:rFonts w:ascii="Times New Roman" w:eastAsia="Times New Roman" w:hAnsi="Times New Roman" w:cs="Times New Roman"/>
          <w:sz w:val="20"/>
          <w:szCs w:val="20"/>
        </w:rPr>
        <w:t>WF agreements from the last meeting.</w:t>
      </w:r>
    </w:p>
    <w:p w14:paraId="47D1CC83"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lastRenderedPageBreak/>
        <w:t xml:space="preserve"> </w:t>
      </w:r>
    </w:p>
    <w:p w14:paraId="24402CC1" w14:textId="67B8ADD9" w:rsidR="00A45D70" w:rsidRDefault="0B302ED9" w:rsidP="00B66CE9">
      <w:pPr>
        <w:pStyle w:val="Heading1"/>
        <w:rPr>
          <w:rFonts w:ascii="Arial" w:eastAsia="Arial" w:hAnsi="Arial" w:cs="Arial"/>
          <w:sz w:val="36"/>
          <w:szCs w:val="36"/>
          <w:lang w:val="en-GB"/>
        </w:rPr>
      </w:pPr>
      <w:r w:rsidRPr="2E9379FE">
        <w:rPr>
          <w:rFonts w:ascii="Arial" w:eastAsia="Arial" w:hAnsi="Arial" w:cs="Arial"/>
          <w:sz w:val="36"/>
          <w:szCs w:val="36"/>
          <w:lang w:val="en-GB"/>
        </w:rPr>
        <w:t>2</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References</w:t>
      </w:r>
    </w:p>
    <w:p w14:paraId="1459901D" w14:textId="77777777" w:rsidR="00B66CE9" w:rsidRPr="00B66CE9" w:rsidRDefault="00B66CE9" w:rsidP="00B66CE9">
      <w:pPr>
        <w:rPr>
          <w:lang w:val="en-GB"/>
        </w:rPr>
      </w:pPr>
    </w:p>
    <w:tbl>
      <w:tblPr>
        <w:tblStyle w:val="TableGrid"/>
        <w:tblW w:w="0" w:type="auto"/>
        <w:tblLook w:val="04A0" w:firstRow="1" w:lastRow="0" w:firstColumn="1" w:lastColumn="0" w:noHBand="0" w:noVBand="1"/>
      </w:tblPr>
      <w:tblGrid>
        <w:gridCol w:w="9350"/>
      </w:tblGrid>
      <w:tr w:rsidR="008242CD" w14:paraId="77A0D3F9" w14:textId="77777777" w:rsidTr="008242CD">
        <w:tc>
          <w:tcPr>
            <w:tcW w:w="9350" w:type="dxa"/>
          </w:tcPr>
          <w:p w14:paraId="27E1F9F0" w14:textId="77777777" w:rsidR="008242CD" w:rsidRPr="000A2BAC" w:rsidRDefault="008A4036" w:rsidP="000A2BAC">
            <w:pPr>
              <w:spacing w:after="160" w:line="257" w:lineRule="auto"/>
              <w:rPr>
                <w:rFonts w:ascii="Times New Roman" w:eastAsia="Times New Roman" w:hAnsi="Times New Roman" w:cs="Times New Roman"/>
                <w:sz w:val="20"/>
                <w:szCs w:val="20"/>
              </w:rPr>
            </w:pPr>
            <w:r w:rsidRPr="000A2BAC">
              <w:rPr>
                <w:rFonts w:ascii="Times New Roman" w:eastAsia="Times New Roman" w:hAnsi="Times New Roman" w:cs="Times New Roman"/>
                <w:sz w:val="20"/>
                <w:szCs w:val="20"/>
              </w:rPr>
              <w:t xml:space="preserve">R4-2305969, </w:t>
            </w:r>
            <w:r w:rsidR="000A2BAC" w:rsidRPr="000A2BAC">
              <w:rPr>
                <w:rFonts w:ascii="Times New Roman" w:eastAsia="Times New Roman" w:hAnsi="Times New Roman" w:cs="Times New Roman"/>
                <w:sz w:val="20"/>
                <w:szCs w:val="20"/>
              </w:rPr>
              <w:t>WF for SBFD feasibility study and requirements impact from UE aspect</w:t>
            </w:r>
          </w:p>
          <w:p w14:paraId="279AC5BE" w14:textId="4295BA14" w:rsidR="000A2BAC" w:rsidRPr="000A2BAC" w:rsidRDefault="000A2BAC" w:rsidP="000A2BAC">
            <w:pPr>
              <w:spacing w:after="160" w:line="257" w:lineRule="auto"/>
              <w:rPr>
                <w:rFonts w:ascii="Times New Roman" w:eastAsia="Times New Roman" w:hAnsi="Times New Roman" w:cs="Times New Roman"/>
                <w:sz w:val="20"/>
                <w:szCs w:val="20"/>
              </w:rPr>
            </w:pPr>
            <w:r w:rsidRPr="000A2BAC">
              <w:rPr>
                <w:rFonts w:ascii="Times New Roman" w:eastAsia="Times New Roman" w:hAnsi="Times New Roman" w:cs="Times New Roman"/>
                <w:sz w:val="20"/>
                <w:szCs w:val="20"/>
              </w:rPr>
              <w:t>R4-2305971, TP to TR 38.858 feasibility of and impact on FR2 UE RF requirements</w:t>
            </w:r>
          </w:p>
        </w:tc>
      </w:tr>
    </w:tbl>
    <w:p w14:paraId="49131A95" w14:textId="77777777" w:rsidR="008242CD" w:rsidRPr="008242CD" w:rsidRDefault="008242CD" w:rsidP="008242CD">
      <w:pPr>
        <w:spacing w:line="254" w:lineRule="auto"/>
        <w:rPr>
          <w:rFonts w:ascii="Calibri" w:eastAsia="Calibri" w:hAnsi="Calibri" w:cs="Calibri"/>
          <w:color w:val="000000" w:themeColor="text1"/>
        </w:rPr>
      </w:pPr>
    </w:p>
    <w:p w14:paraId="724FC829"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3445270B" w14:textId="262CB406" w:rsidR="00A45D70" w:rsidRDefault="0B302ED9" w:rsidP="2E9379FE">
      <w:pPr>
        <w:pStyle w:val="Heading1"/>
      </w:pPr>
      <w:r w:rsidRPr="2E9379FE">
        <w:rPr>
          <w:rFonts w:ascii="Arial" w:eastAsia="Arial" w:hAnsi="Arial" w:cs="Arial"/>
          <w:sz w:val="36"/>
          <w:szCs w:val="36"/>
          <w:lang w:val="en-GB"/>
        </w:rPr>
        <w:t>3</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6B104DD9" w14:textId="59FDE648" w:rsidR="00A45D70" w:rsidRDefault="0B302ED9" w:rsidP="2E9379FE">
      <w:pPr>
        <w:spacing w:line="257" w:lineRule="auto"/>
        <w:ind w:left="1134" w:hanging="1134"/>
      </w:pPr>
      <w:r w:rsidRPr="2E9379FE">
        <w:rPr>
          <w:rFonts w:ascii="Arial" w:eastAsia="Arial" w:hAnsi="Arial" w:cs="Arial"/>
          <w:sz w:val="32"/>
          <w:szCs w:val="32"/>
        </w:rPr>
        <w:t>10.7 FR2</w:t>
      </w:r>
      <w:r w:rsidR="00B501F0">
        <w:rPr>
          <w:rFonts w:ascii="Arial" w:eastAsia="Arial" w:hAnsi="Arial" w:cs="Arial"/>
          <w:sz w:val="32"/>
          <w:szCs w:val="32"/>
        </w:rPr>
        <w:t>-1</w:t>
      </w:r>
      <w:r w:rsidRPr="2E9379FE">
        <w:rPr>
          <w:rFonts w:ascii="Arial" w:eastAsia="Arial" w:hAnsi="Arial" w:cs="Arial"/>
          <w:sz w:val="32"/>
          <w:szCs w:val="32"/>
        </w:rPr>
        <w:t xml:space="preserve"> Feasibility of UE aspects</w:t>
      </w:r>
    </w:p>
    <w:p w14:paraId="060431C8" w14:textId="262CB406" w:rsidR="00A45D70" w:rsidRDefault="0B302ED9" w:rsidP="2E9379FE">
      <w:pPr>
        <w:spacing w:line="257" w:lineRule="auto"/>
        <w:ind w:left="1134" w:hanging="1134"/>
      </w:pPr>
      <w:r w:rsidRPr="2E9379FE">
        <w:rPr>
          <w:rFonts w:ascii="Arial" w:eastAsia="Arial" w:hAnsi="Arial" w:cs="Arial"/>
          <w:sz w:val="28"/>
          <w:szCs w:val="28"/>
        </w:rPr>
        <w:t>10.7.1    Interference analysis</w:t>
      </w:r>
    </w:p>
    <w:p w14:paraId="16B20482" w14:textId="262CB406" w:rsidR="00A45D70" w:rsidRDefault="0B302ED9" w:rsidP="2E9379FE">
      <w:pPr>
        <w:spacing w:line="257" w:lineRule="auto"/>
        <w:ind w:left="1418" w:hanging="1418"/>
      </w:pPr>
      <w:r w:rsidRPr="2E9379FE">
        <w:rPr>
          <w:rFonts w:ascii="Arial" w:eastAsia="Arial" w:hAnsi="Arial" w:cs="Arial"/>
          <w:sz w:val="24"/>
          <w:szCs w:val="24"/>
        </w:rPr>
        <w:t>10.7.1.1  UE-UE co-channel inter-subband CLI modeling</w:t>
      </w:r>
    </w:p>
    <w:p w14:paraId="0612C46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3969D3B5"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10.7.1.1.1 Receiver aspects</w:t>
      </w:r>
    </w:p>
    <w:p w14:paraId="2BEBAA56"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Existing co-channel UE RX performance requirements</w:t>
      </w:r>
    </w:p>
    <w:p w14:paraId="0AF26815"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the current UE RF architecture can be assumed without any RF architecture modification.</w:t>
      </w:r>
    </w:p>
    <w:p w14:paraId="108FA202"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Currently there are no RF requirements for UE co-channel Rx performance. </w:t>
      </w:r>
    </w:p>
    <w:p w14:paraId="7146D8ED"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45FCF0C3"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and legacy UEs</w:t>
      </w:r>
    </w:p>
    <w:p w14:paraId="13AD3BA3"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no sub-band filtering is implemented, and therefore RAN4 has not assumed any subband filtering. </w:t>
      </w:r>
    </w:p>
    <w:p w14:paraId="77D5AB09"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5B0F7BC4"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for a SBFD-aware UEs – UEs with a new feature</w:t>
      </w:r>
    </w:p>
    <w:p w14:paraId="7C0C0603"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SBFD-aware UEs support half duplex operation while receiving the sub-band configuration from the network. For this kind of UE, the RF architecture and applicable RF requirements need further study for future releases. In the present study,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are</w:t>
      </w:r>
      <w:r w:rsidRPr="00F062F5">
        <w:rPr>
          <w:rFonts w:ascii="Times New Roman" w:eastAsia="Times New Roman" w:hAnsi="Times New Roman" w:cs="Times New Roman"/>
          <w:sz w:val="20"/>
          <w:szCs w:val="20"/>
          <w:u w:val="single"/>
        </w:rPr>
        <w:t xml:space="preserve"> the </w:t>
      </w:r>
      <w:proofErr w:type="gramStart"/>
      <w:r w:rsidRPr="00F062F5">
        <w:rPr>
          <w:rFonts w:ascii="Times New Roman" w:eastAsia="Times New Roman" w:hAnsi="Times New Roman" w:cs="Times New Roman"/>
          <w:sz w:val="20"/>
          <w:szCs w:val="20"/>
          <w:u w:val="single"/>
        </w:rPr>
        <w:t>main focus</w:t>
      </w:r>
      <w:proofErr w:type="gramEnd"/>
      <w:r w:rsidRPr="00F062F5">
        <w:rPr>
          <w:rFonts w:ascii="Times New Roman" w:eastAsia="Times New Roman" w:hAnsi="Times New Roman" w:cs="Times New Roman"/>
          <w:sz w:val="20"/>
          <w:szCs w:val="20"/>
          <w:u w:val="single"/>
        </w:rPr>
        <w:t>.</w:t>
      </w:r>
    </w:p>
    <w:p w14:paraId="744F8BEF"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new SBFD aware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we</w:t>
      </w:r>
      <w:r w:rsidRPr="00F062F5">
        <w:rPr>
          <w:rFonts w:ascii="Times New Roman" w:eastAsia="Times New Roman" w:hAnsi="Times New Roman" w:cs="Times New Roman"/>
          <w:sz w:val="20"/>
          <w:szCs w:val="20"/>
          <w:u w:val="single"/>
        </w:rPr>
        <w:t xml:space="preserve"> need further study on whether sub-filtering can be considered or not. The subband/in-channel selectivity needs further study.</w:t>
      </w:r>
    </w:p>
    <w:p w14:paraId="2AB850ED"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 </w:t>
      </w:r>
    </w:p>
    <w:p w14:paraId="7C056CBC" w14:textId="77777777" w:rsidR="004B4C27" w:rsidRPr="00F062F5" w:rsidRDefault="004B4C27" w:rsidP="004B4C27">
      <w:pPr>
        <w:spacing w:line="257" w:lineRule="auto"/>
      </w:pPr>
      <w:r w:rsidRPr="00F062F5">
        <w:rPr>
          <w:rFonts w:ascii="Times New Roman" w:eastAsia="Times New Roman" w:hAnsi="Times New Roman" w:cs="Times New Roman"/>
          <w:i/>
          <w:iCs/>
          <w:sz w:val="20"/>
          <w:szCs w:val="20"/>
        </w:rPr>
        <w:t>.</w:t>
      </w:r>
    </w:p>
    <w:p w14:paraId="772963ED"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lastRenderedPageBreak/>
        <w:t xml:space="preserve"> </w:t>
      </w:r>
    </w:p>
    <w:p w14:paraId="09EB7037"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Thermal self-noise aspects (both adjacent channel and co-channel)</w:t>
      </w:r>
    </w:p>
    <w:p w14:paraId="283C9DDD" w14:textId="00015E5C"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RAN4 decided on a simple fixed-value noise figure model for the UE receiver. Generally, the receiver noise figure will vary with the input power level, however the single value noise figure model was considered </w:t>
      </w:r>
      <w:del w:id="0" w:author="Author">
        <w:r w:rsidRPr="00F062F5" w:rsidDel="00DD043D">
          <w:rPr>
            <w:rFonts w:ascii="Times New Roman" w:eastAsia="Times New Roman" w:hAnsi="Times New Roman" w:cs="Times New Roman"/>
            <w:sz w:val="20"/>
            <w:szCs w:val="20"/>
            <w:u w:val="single"/>
          </w:rPr>
          <w:delText xml:space="preserve">to be </w:delText>
        </w:r>
      </w:del>
      <w:r w:rsidRPr="00F062F5">
        <w:rPr>
          <w:rFonts w:ascii="Times New Roman" w:eastAsia="Times New Roman" w:hAnsi="Times New Roman" w:cs="Times New Roman"/>
          <w:sz w:val="20"/>
          <w:szCs w:val="20"/>
          <w:u w:val="single"/>
        </w:rPr>
        <w:t xml:space="preserve">sufficient for the purpose of system studies for SBFD. RAN4 decided on a NF of </w:t>
      </w:r>
      <w:del w:id="1" w:author="Author">
        <w:r w:rsidRPr="00F062F5" w:rsidDel="00DD043D">
          <w:rPr>
            <w:rFonts w:ascii="Times New Roman" w:eastAsia="Times New Roman" w:hAnsi="Times New Roman" w:cs="Times New Roman"/>
            <w:sz w:val="20"/>
            <w:szCs w:val="20"/>
            <w:u w:val="single"/>
          </w:rPr>
          <w:delText xml:space="preserve">[7.5 to </w:delText>
        </w:r>
      </w:del>
      <w:r w:rsidRPr="00F062F5">
        <w:rPr>
          <w:rFonts w:ascii="Times New Roman" w:eastAsia="Times New Roman" w:hAnsi="Times New Roman" w:cs="Times New Roman"/>
          <w:sz w:val="20"/>
          <w:szCs w:val="20"/>
          <w:u w:val="single"/>
        </w:rPr>
        <w:t>10dB</w:t>
      </w:r>
      <w:del w:id="2" w:author="Author">
        <w:r w:rsidRPr="00F062F5" w:rsidDel="00DD043D">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w:t>
      </w:r>
    </w:p>
    <w:p w14:paraId="3880DD62"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42B9D7FC"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in-channel selectivity</w:t>
      </w:r>
    </w:p>
    <w:p w14:paraId="6E9FC126" w14:textId="1FAAE44C"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It is worth noting that the RF degradations can cause inter-subband interference </w:t>
      </w:r>
      <w:r w:rsidRPr="00F062F5">
        <w:rPr>
          <w:rFonts w:ascii="Times New Roman" w:eastAsia="Times New Roman" w:hAnsi="Times New Roman" w:cs="Times New Roman"/>
          <w:sz w:val="20"/>
          <w:szCs w:val="20"/>
        </w:rPr>
        <w:t>.</w:t>
      </w:r>
      <w:r w:rsidRPr="00F062F5">
        <w:rPr>
          <w:rFonts w:ascii="Times New Roman" w:eastAsia="Times New Roman" w:hAnsi="Times New Roman" w:cs="Times New Roman"/>
          <w:sz w:val="20"/>
          <w:szCs w:val="20"/>
          <w:u w:val="single"/>
        </w:rPr>
        <w:t xml:space="preserve"> We analyzed the design of the FR2-1 receiver. There are multiple considerations in the receiver design … for example residual sideband, reciprocal mixing, integrated phase noise, IM3 distortion, and ADC distortions. The effect of all these distortions is lumped into a single parameter we call selectivity. </w:t>
      </w:r>
      <w:r w:rsidR="00183DC8">
        <w:rPr>
          <w:rFonts w:ascii="Times New Roman" w:eastAsia="Times New Roman" w:hAnsi="Times New Roman" w:cs="Times New Roman"/>
          <w:sz w:val="20"/>
          <w:szCs w:val="20"/>
          <w:u w:val="single"/>
        </w:rPr>
        <w:t xml:space="preserve">Based on the discussion and analysis from the meeting, contributions suggested possible the sub-band selectivity values from 20 dB to 34 dB. </w:t>
      </w:r>
      <w:r w:rsidRPr="00F062F5">
        <w:rPr>
          <w:rFonts w:ascii="Times New Roman" w:eastAsia="Times New Roman" w:hAnsi="Times New Roman" w:cs="Times New Roman"/>
          <w:sz w:val="20"/>
          <w:szCs w:val="20"/>
          <w:u w:val="single"/>
        </w:rPr>
        <w:t xml:space="preserve">The receiver performance is simply modelled as being </w:t>
      </w:r>
      <w:del w:id="3" w:author="Author">
        <w:r w:rsidRPr="00F062F5" w:rsidDel="002F6E98">
          <w:rPr>
            <w:rFonts w:ascii="Times New Roman" w:eastAsia="Times New Roman" w:hAnsi="Times New Roman" w:cs="Times New Roman"/>
            <w:sz w:val="20"/>
            <w:szCs w:val="20"/>
            <w:u w:val="single"/>
          </w:rPr>
          <w:delText>[20 to 34</w:delText>
        </w:r>
      </w:del>
      <w:ins w:id="4" w:author="Author">
        <w:r w:rsidR="002F6E98">
          <w:rPr>
            <w:rFonts w:ascii="Times New Roman" w:eastAsia="Times New Roman" w:hAnsi="Times New Roman" w:cs="Times New Roman"/>
            <w:sz w:val="20"/>
            <w:szCs w:val="20"/>
            <w:u w:val="single"/>
          </w:rPr>
          <w:t>23</w:t>
        </w:r>
      </w:ins>
      <w:r w:rsidRPr="00F062F5">
        <w:rPr>
          <w:rFonts w:ascii="Times New Roman" w:eastAsia="Times New Roman" w:hAnsi="Times New Roman" w:cs="Times New Roman"/>
          <w:sz w:val="20"/>
          <w:szCs w:val="20"/>
          <w:u w:val="single"/>
        </w:rPr>
        <w:t xml:space="preserve"> dB</w:t>
      </w:r>
      <w:del w:id="5" w:author="Author">
        <w:r w:rsidRPr="00F062F5" w:rsidDel="002F6E98">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below the total input power level Pin. Pin the total power into the receiver, whether it is signal or jammer.</w:t>
      </w:r>
    </w:p>
    <w:p w14:paraId="01C1D082"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The definition of Sub-band/In-channel selectivity is introduced for clarity in the SBFD feasibility study:</w:t>
      </w:r>
    </w:p>
    <w:p w14:paraId="0368CEE4" w14:textId="77777777" w:rsidR="004B4C27" w:rsidRPr="001E18E0" w:rsidRDefault="004B4C27" w:rsidP="004B4C27">
      <w:pPr>
        <w:pStyle w:val="ListParagraph"/>
        <w:numPr>
          <w:ilvl w:val="0"/>
          <w:numId w:val="28"/>
        </w:numPr>
        <w:rPr>
          <w:rFonts w:ascii="Times New Roman" w:eastAsia="Calibri" w:hAnsi="Times New Roman" w:cs="Times New Roman"/>
          <w:i/>
          <w:iCs/>
          <w:sz w:val="20"/>
          <w:szCs w:val="20"/>
          <w:u w:val="single"/>
        </w:rPr>
      </w:pPr>
      <w:r w:rsidRPr="001E18E0">
        <w:rPr>
          <w:rFonts w:ascii="Times New Roman" w:eastAsia="Calibri" w:hAnsi="Times New Roman" w:cs="Times New Roman"/>
          <w:i/>
          <w:iCs/>
          <w:sz w:val="20"/>
          <w:szCs w:val="20"/>
          <w:u w:val="single"/>
        </w:rPr>
        <w: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t>
      </w:r>
    </w:p>
    <w:p w14:paraId="66D5B521"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2F929B9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FFT leakage and selectivity</w:t>
      </w:r>
    </w:p>
    <w:p w14:paraId="26675D33"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As in FR1, the FFT leakage aspect is not a dominant factor in the UE receiver, and we do not include any factor for this effect.</w:t>
      </w:r>
    </w:p>
    <w:p w14:paraId="666F3E99" w14:textId="531549BF"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Jammer frequency and time offset were studied </w:t>
      </w:r>
      <w:ins w:id="6" w:author="Author">
        <w:r w:rsidR="005F1494">
          <w:rPr>
            <w:rFonts w:ascii="Times New Roman" w:eastAsia="Times New Roman" w:hAnsi="Times New Roman" w:cs="Times New Roman"/>
            <w:sz w:val="20"/>
            <w:szCs w:val="20"/>
            <w:u w:val="single"/>
          </w:rPr>
          <w:t xml:space="preserve">and </w:t>
        </w:r>
      </w:ins>
      <w:r w:rsidRPr="00F062F5">
        <w:rPr>
          <w:rFonts w:ascii="Times New Roman" w:eastAsia="Times New Roman" w:hAnsi="Times New Roman" w:cs="Times New Roman"/>
          <w:sz w:val="20"/>
          <w:szCs w:val="20"/>
          <w:u w:val="single"/>
        </w:rPr>
        <w:t xml:space="preserve">are not significant factors influencing UE-UE interference. </w:t>
      </w:r>
    </w:p>
    <w:p w14:paraId="54C161F3"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19D79679"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10.7.1.1.2 Transmitter aspects</w:t>
      </w:r>
    </w:p>
    <w:p w14:paraId="7EB468B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Inband emissions (co-channel)</w:t>
      </w:r>
    </w:p>
    <w:p w14:paraId="6A21F644"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33F17B20"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It should also be assumed the LO location is in the center of the channel for the purposes of system studies in RAN4. The LO location is important as it allows placement of the image.</w:t>
      </w:r>
    </w:p>
    <w:p w14:paraId="520D4E18"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Analysis indicates that the IBE interference is higher and dominates the sub-band co-channel selectivity, </w:t>
      </w:r>
    </w:p>
    <w:p w14:paraId="6379D5E5"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40F909A"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14:paraId="742B38B0" w14:textId="77777777" w:rsidR="004B4C27" w:rsidRPr="00F062F5" w:rsidRDefault="004B4C27" w:rsidP="004B4C27">
      <w:pPr>
        <w:spacing w:line="257" w:lineRule="auto"/>
        <w:jc w:val="center"/>
      </w:pPr>
      <w:r w:rsidRPr="00F062F5">
        <w:rPr>
          <w:rFonts w:ascii="Arial" w:eastAsia="Arial" w:hAnsi="Arial" w:cs="Arial"/>
          <w:b/>
          <w:bCs/>
          <w:sz w:val="20"/>
          <w:szCs w:val="20"/>
          <w:u w:val="single"/>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4B4C27" w:rsidRPr="00F062F5" w14:paraId="7DD09EDA" w14:textId="77777777" w:rsidTr="007B515A">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92AA2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Parameter description</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33A854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Unit</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BB5EA7A" w14:textId="77777777" w:rsidR="004B4C27" w:rsidRPr="00F062F5" w:rsidRDefault="004B4C27" w:rsidP="007B515A">
            <w:pPr>
              <w:spacing w:line="257" w:lineRule="auto"/>
              <w:jc w:val="center"/>
            </w:pPr>
            <w:r w:rsidRPr="00F062F5">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6CF13D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Applicable Frequencies</w:t>
            </w:r>
          </w:p>
        </w:tc>
      </w:tr>
      <w:tr w:rsidR="004B4C27" w:rsidRPr="00F062F5" w14:paraId="6B1C652F" w14:textId="77777777" w:rsidTr="007B515A">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76B051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General</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6FAFDD02"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BE8DC3" w14:textId="77777777" w:rsidR="004B4C27" w:rsidRPr="00F062F5" w:rsidRDefault="004B4C27" w:rsidP="007B515A">
            <w:pPr>
              <w:spacing w:line="257" w:lineRule="auto"/>
              <w:jc w:val="center"/>
            </w:pPr>
            <w:r w:rsidRPr="00F062F5">
              <w:br/>
            </w:r>
          </w:p>
          <w:p w14:paraId="51514B61"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p w14:paraId="36C5A46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740C6ED" w14:textId="77777777" w:rsidR="004B4C27" w:rsidRPr="00F062F5" w:rsidRDefault="004B4C27" w:rsidP="007B515A">
            <w:pPr>
              <w:spacing w:line="257" w:lineRule="auto"/>
              <w:jc w:val="center"/>
            </w:pPr>
            <w:r w:rsidRPr="00F062F5">
              <w:rPr>
                <w:rFonts w:ascii="Arial" w:eastAsia="Arial" w:hAnsi="Arial" w:cs="Arial"/>
                <w:sz w:val="18"/>
                <w:szCs w:val="18"/>
                <w:u w:val="single"/>
              </w:rPr>
              <w:t>Any non-allocated (NOTE 2)</w:t>
            </w:r>
          </w:p>
        </w:tc>
      </w:tr>
      <w:tr w:rsidR="004B4C27" w:rsidRPr="00F062F5" w14:paraId="5EBA5E16"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3B62BC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single" w:sz="8" w:space="0" w:color="auto"/>
              <w:left w:val="single" w:sz="8" w:space="0" w:color="auto"/>
              <w:bottom w:val="nil"/>
              <w:right w:val="single" w:sz="8" w:space="0" w:color="auto"/>
            </w:tcBorders>
            <w:tcMar>
              <w:left w:w="108" w:type="dxa"/>
              <w:right w:w="108" w:type="dxa"/>
            </w:tcMar>
          </w:tcPr>
          <w:p w14:paraId="55DDC18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3756AB7E"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12FDCAE1"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2D5CE5DE"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FEB3E1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0263854C"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EB84863" w14:textId="77777777" w:rsidR="004B4C27" w:rsidRPr="00F062F5" w:rsidRDefault="004B4C27" w:rsidP="007B515A">
            <w:pPr>
              <w:spacing w:line="257" w:lineRule="auto"/>
              <w:jc w:val="center"/>
            </w:pPr>
            <w:r w:rsidRPr="00F062F5">
              <w:rPr>
                <w:rFonts w:ascii="Arial" w:eastAsia="Arial" w:hAnsi="Arial" w:cs="Arial"/>
                <w:b/>
                <w:bCs/>
                <w:sz w:val="18"/>
                <w:szCs w:val="18"/>
                <w:u w:val="single"/>
              </w:rPr>
              <w:t>IQ Image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6EBDC1FF"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0C85125"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FDDB583" w14:textId="77777777" w:rsidR="004B4C27" w:rsidRPr="00F062F5" w:rsidRDefault="004B4C27" w:rsidP="007B515A">
            <w:pPr>
              <w:spacing w:line="257" w:lineRule="auto"/>
              <w:jc w:val="center"/>
            </w:pPr>
            <w:r w:rsidRPr="00F062F5">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89177E" w14:textId="77777777" w:rsidR="004B4C27" w:rsidRPr="00F062F5" w:rsidRDefault="004B4C27" w:rsidP="007B515A">
            <w:pPr>
              <w:spacing w:line="257" w:lineRule="auto"/>
              <w:jc w:val="center"/>
            </w:pPr>
            <w:r w:rsidRPr="00F062F5">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15704E5" w14:textId="77777777" w:rsidR="004B4C27" w:rsidRPr="00F062F5" w:rsidRDefault="004B4C27" w:rsidP="007B515A">
            <w:pPr>
              <w:spacing w:line="257" w:lineRule="auto"/>
              <w:jc w:val="center"/>
            </w:pPr>
            <w:r w:rsidRPr="00F062F5">
              <w:rPr>
                <w:rFonts w:ascii="Arial" w:eastAsia="Arial" w:hAnsi="Arial" w:cs="Arial"/>
                <w:sz w:val="18"/>
                <w:szCs w:val="18"/>
                <w:u w:val="single"/>
              </w:rPr>
              <w:t>Image frequencies (NOTES 2, 3)</w:t>
            </w:r>
          </w:p>
        </w:tc>
      </w:tr>
      <w:tr w:rsidR="004B4C27" w:rsidRPr="00F062F5" w14:paraId="71A2D59D" w14:textId="77777777" w:rsidTr="007B515A">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3EFD6401"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19F2483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7EC91E40"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49A66E7" w14:textId="77777777" w:rsidR="004B4C27" w:rsidRPr="00F062F5" w:rsidRDefault="004B4C27" w:rsidP="007B515A">
            <w:pPr>
              <w:spacing w:line="257" w:lineRule="auto"/>
              <w:jc w:val="center"/>
            </w:pPr>
            <w:r w:rsidRPr="00F062F5">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26A63E4" w14:textId="77777777" w:rsidR="004B4C27" w:rsidRPr="00F062F5" w:rsidRDefault="004B4C27" w:rsidP="007B515A">
            <w:pPr>
              <w:spacing w:line="257" w:lineRule="auto"/>
              <w:jc w:val="center"/>
            </w:pPr>
            <w:r w:rsidRPr="00F062F5">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3686EF9B"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7E4DCD83" w14:textId="77777777" w:rsidTr="007B515A">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0EE9CCBE" w14:textId="77777777" w:rsidR="004B4C27" w:rsidRPr="00F062F5" w:rsidRDefault="004B4C27" w:rsidP="007B515A">
            <w:pPr>
              <w:spacing w:line="257" w:lineRule="auto"/>
              <w:jc w:val="center"/>
            </w:pPr>
            <w:r w:rsidRPr="00F062F5">
              <w:rPr>
                <w:rFonts w:ascii="Arial" w:eastAsia="Arial" w:hAnsi="Arial" w:cs="Arial"/>
                <w:b/>
                <w:bCs/>
                <w:sz w:val="18"/>
                <w:szCs w:val="18"/>
                <w:u w:val="single"/>
              </w:rPr>
              <w:t>Carrier leakage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3A604D4C" w14:textId="77777777" w:rsidR="004B4C27" w:rsidRPr="00F062F5" w:rsidRDefault="004B4C27" w:rsidP="007B515A">
            <w:pPr>
              <w:spacing w:line="257" w:lineRule="auto"/>
              <w:jc w:val="center"/>
            </w:pPr>
            <w:r w:rsidRPr="00F062F5">
              <w:rPr>
                <w:rFonts w:ascii="Arial" w:eastAsia="Arial" w:hAnsi="Arial" w:cs="Arial"/>
                <w:sz w:val="18"/>
                <w:szCs w:val="18"/>
                <w:u w:val="single"/>
              </w:rPr>
              <w:t>dBc</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1B821FE6"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0E7260" w14:textId="77777777" w:rsidR="004B4C27" w:rsidRPr="00F062F5" w:rsidRDefault="004B4C27" w:rsidP="007B515A">
            <w:pPr>
              <w:spacing w:line="257" w:lineRule="auto"/>
              <w:jc w:val="center"/>
            </w:pPr>
            <w:r w:rsidRPr="00F062F5">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746B314" w14:textId="77777777" w:rsidR="004B4C27" w:rsidRPr="00F062F5" w:rsidRDefault="004B4C27" w:rsidP="007B515A">
            <w:pPr>
              <w:spacing w:line="257" w:lineRule="auto"/>
              <w:jc w:val="center"/>
            </w:pPr>
            <w:r w:rsidRPr="00F062F5">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E50D6CF" w14:textId="77777777" w:rsidR="004B4C27" w:rsidRPr="00F062F5" w:rsidRDefault="004B4C27" w:rsidP="007B515A">
            <w:pPr>
              <w:spacing w:line="257" w:lineRule="auto"/>
              <w:jc w:val="center"/>
            </w:pPr>
            <w:r w:rsidRPr="00F062F5">
              <w:rPr>
                <w:rFonts w:ascii="Arial" w:eastAsia="Arial" w:hAnsi="Arial" w:cs="Arial"/>
                <w:sz w:val="18"/>
                <w:szCs w:val="18"/>
                <w:u w:val="single"/>
              </w:rPr>
              <w:t>Carrier frequency (NOTES 4, 5)</w:t>
            </w:r>
          </w:p>
        </w:tc>
      </w:tr>
      <w:tr w:rsidR="004B4C27" w:rsidRPr="00F062F5" w14:paraId="3BF1F1B1" w14:textId="77777777" w:rsidTr="007B515A">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9D226C9"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5E269ACD"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A0D83A4"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37FE3E6" w14:textId="77777777" w:rsidR="004B4C27" w:rsidRPr="00F062F5" w:rsidRDefault="004B4C27" w:rsidP="007B515A">
            <w:pPr>
              <w:spacing w:line="257" w:lineRule="auto"/>
              <w:jc w:val="center"/>
            </w:pPr>
            <w:r w:rsidRPr="00F062F5">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C56C6AC" w14:textId="77777777" w:rsidR="004B4C27" w:rsidRPr="00F062F5" w:rsidRDefault="004B4C27" w:rsidP="007B515A">
            <w:pPr>
              <w:spacing w:line="257" w:lineRule="auto"/>
              <w:jc w:val="center"/>
            </w:pPr>
            <w:r w:rsidRPr="00F062F5">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8107F56" w14:textId="77777777" w:rsidR="004B4C27" w:rsidRPr="00F062F5" w:rsidRDefault="004B4C27" w:rsidP="007B515A">
            <w:pPr>
              <w:spacing w:line="257" w:lineRule="auto"/>
              <w:jc w:val="center"/>
            </w:pPr>
            <w:r w:rsidRPr="00F062F5">
              <w:rPr>
                <w:rFonts w:ascii="Times New Roman" w:eastAsia="Times New Roman" w:hAnsi="Times New Roman" w:cs="Times New Roman"/>
                <w:sz w:val="20"/>
                <w:szCs w:val="20"/>
                <w:u w:val="single"/>
              </w:rPr>
              <w:t xml:space="preserve"> </w:t>
            </w:r>
          </w:p>
        </w:tc>
      </w:tr>
    </w:tbl>
    <w:p w14:paraId="4BD1D8E9" w14:textId="77777777" w:rsidR="004B4C27" w:rsidRDefault="004B4C27" w:rsidP="004B4C27">
      <w:pPr>
        <w:spacing w:line="257" w:lineRule="auto"/>
      </w:pPr>
      <w:r w:rsidRPr="2E9379FE">
        <w:rPr>
          <w:rFonts w:ascii="Times New Roman" w:eastAsia="Times New Roman" w:hAnsi="Times New Roman" w:cs="Times New Roman"/>
          <w:i/>
          <w:iCs/>
          <w:color w:val="0000FF"/>
          <w:sz w:val="20"/>
          <w:szCs w:val="20"/>
        </w:rPr>
        <w:t xml:space="preserve"> </w:t>
      </w:r>
    </w:p>
    <w:p w14:paraId="4C7B32AB" w14:textId="77777777" w:rsidR="004B4C27" w:rsidRDefault="004B4C27" w:rsidP="004B4C27">
      <w:pPr>
        <w:spacing w:line="257" w:lineRule="auto"/>
        <w:ind w:left="1418" w:hanging="1418"/>
      </w:pPr>
      <w:r w:rsidRPr="2E9379FE">
        <w:rPr>
          <w:rFonts w:ascii="Arial" w:eastAsia="Arial" w:hAnsi="Arial" w:cs="Arial"/>
          <w:sz w:val="24"/>
          <w:szCs w:val="24"/>
        </w:rPr>
        <w:t>10.7.1.2  UE-UE adjacent channel CLI modeling</w:t>
      </w:r>
    </w:p>
    <w:p w14:paraId="24248C5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583A11A2"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10.7.1.2.1 Receiver aspects</w:t>
      </w:r>
    </w:p>
    <w:p w14:paraId="46C34A65" w14:textId="77777777" w:rsidR="004E01DB" w:rsidRPr="00F062F5" w:rsidRDefault="004E01DB" w:rsidP="004E01DB">
      <w:pPr>
        <w:spacing w:line="257" w:lineRule="auto"/>
        <w:ind w:left="1418" w:hanging="1418"/>
      </w:pPr>
      <w:r w:rsidRPr="00F062F5">
        <w:rPr>
          <w:rFonts w:ascii="Times New Roman" w:eastAsia="Times New Roman" w:hAnsi="Times New Roman" w:cs="Times New Roman"/>
          <w:b/>
          <w:bCs/>
          <w:i/>
          <w:iCs/>
          <w:sz w:val="20"/>
          <w:szCs w:val="20"/>
          <w:u w:val="single"/>
        </w:rPr>
        <w:t xml:space="preserve">Effect of adjacent channel aggressor UE jammer </w:t>
      </w:r>
    </w:p>
    <w:p w14:paraId="4D09D6AA" w14:textId="77777777" w:rsidR="004E01DB" w:rsidRPr="00F062F5" w:rsidRDefault="004E01DB" w:rsidP="004E01DB">
      <w:pPr>
        <w:spacing w:line="257" w:lineRule="auto"/>
      </w:pPr>
      <w:r w:rsidRPr="00F062F5">
        <w:rPr>
          <w:rFonts w:ascii="Times New Roman" w:eastAsia="Times New Roman" w:hAnsi="Times New Roman" w:cs="Times New Roman"/>
          <w:sz w:val="20"/>
          <w:szCs w:val="20"/>
          <w:u w:val="single"/>
        </w:rPr>
        <w:t>We analyzed the design of the FR2-1 receiver. There are multiple considerations in the receiver design … for example residual sideband, reciprocal mixing, integrated phase noise, IM3 distortion, and ADC distortions. The receiver performance is simply modelled as being 34 dB below the total input power level Pin. Pin the total power into the receiver, whether it is signal or jammer.</w:t>
      </w:r>
    </w:p>
    <w:p w14:paraId="0D7D06A9"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 xml:space="preserve"> </w:t>
      </w:r>
    </w:p>
    <w:p w14:paraId="10753F24"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10.7.1.2.2 Transmitter aspects</w:t>
      </w:r>
    </w:p>
    <w:p w14:paraId="7D03EEF6" w14:textId="77777777" w:rsidR="004E01DB" w:rsidRPr="00F062F5" w:rsidRDefault="004E01DB" w:rsidP="004E01DB">
      <w:pPr>
        <w:spacing w:line="257" w:lineRule="auto"/>
      </w:pPr>
      <w:r w:rsidRPr="00F062F5">
        <w:rPr>
          <w:rFonts w:ascii="Times New Roman" w:eastAsia="Times New Roman" w:hAnsi="Times New Roman" w:cs="Times New Roman"/>
          <w:b/>
          <w:bCs/>
          <w:i/>
          <w:iCs/>
          <w:sz w:val="20"/>
          <w:szCs w:val="20"/>
          <w:u w:val="single"/>
        </w:rPr>
        <w:t>ACLR (adjacent channel)</w:t>
      </w:r>
    </w:p>
    <w:p w14:paraId="1AF35DFD" w14:textId="2D221506" w:rsidR="004E01DB" w:rsidRPr="00F062F5" w:rsidRDefault="004E01DB" w:rsidP="004E01DB">
      <w:pPr>
        <w:spacing w:line="257" w:lineRule="auto"/>
      </w:pPr>
      <w:r w:rsidRPr="00F062F5">
        <w:rPr>
          <w:rFonts w:ascii="Times New Roman" w:eastAsia="Times New Roman" w:hAnsi="Times New Roman" w:cs="Times New Roman"/>
          <w:sz w:val="20"/>
          <w:szCs w:val="20"/>
          <w:u w:val="single"/>
        </w:rPr>
        <w:t xml:space="preserve">ACLR is one aspect modelled as an interference aspect from a nearby aggressor UE transmitting in an adjacent UL subband. UE ACLR is modeled as </w:t>
      </w:r>
      <w:del w:id="7"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24 dB</w:t>
      </w:r>
      <w:del w:id="8"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at max power, improving 1 dB/dB with backoff up to a maximum of 10 dB of improvement. Therefore, when the backoff is 10 dB, the ACLR is </w:t>
      </w:r>
      <w:del w:id="9"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34</w:t>
      </w:r>
      <w:del w:id="10"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dB. This model </w:t>
      </w:r>
      <w:proofErr w:type="gramStart"/>
      <w:r w:rsidRPr="00F062F5">
        <w:rPr>
          <w:rFonts w:ascii="Times New Roman" w:eastAsia="Times New Roman" w:hAnsi="Times New Roman" w:cs="Times New Roman"/>
          <w:sz w:val="20"/>
          <w:szCs w:val="20"/>
          <w:u w:val="single"/>
        </w:rPr>
        <w:t>is an approximation of</w:t>
      </w:r>
      <w:proofErr w:type="gramEnd"/>
      <w:r w:rsidRPr="00F062F5">
        <w:rPr>
          <w:rFonts w:ascii="Times New Roman" w:eastAsia="Times New Roman" w:hAnsi="Times New Roman" w:cs="Times New Roman"/>
          <w:sz w:val="20"/>
          <w:szCs w:val="20"/>
          <w:u w:val="single"/>
        </w:rPr>
        <w:t xml:space="preserve"> the performance of a typical UE.</w:t>
      </w:r>
    </w:p>
    <w:p w14:paraId="056967E3" w14:textId="77777777" w:rsidR="004E01DB" w:rsidRDefault="004E01DB" w:rsidP="004E01DB">
      <w:pPr>
        <w:spacing w:line="257" w:lineRule="auto"/>
        <w:ind w:left="1418" w:hanging="1418"/>
      </w:pPr>
      <w:r w:rsidRPr="2E9379FE">
        <w:rPr>
          <w:rFonts w:ascii="Arial" w:eastAsia="Arial" w:hAnsi="Arial" w:cs="Arial"/>
          <w:sz w:val="24"/>
          <w:szCs w:val="24"/>
        </w:rPr>
        <w:t xml:space="preserve"> </w:t>
      </w:r>
    </w:p>
    <w:p w14:paraId="37C3330D" w14:textId="77777777" w:rsidR="004E01DB" w:rsidRDefault="004E01DB" w:rsidP="004E01DB">
      <w:pPr>
        <w:spacing w:line="257" w:lineRule="auto"/>
        <w:ind w:left="1134" w:hanging="1134"/>
      </w:pPr>
      <w:r w:rsidRPr="2E9379FE">
        <w:rPr>
          <w:rFonts w:ascii="Arial" w:eastAsia="Arial" w:hAnsi="Arial" w:cs="Arial"/>
          <w:sz w:val="28"/>
          <w:szCs w:val="28"/>
        </w:rPr>
        <w:t>10.7.2</w:t>
      </w:r>
      <w:r>
        <w:tab/>
      </w:r>
      <w:r w:rsidRPr="2E9379FE">
        <w:rPr>
          <w:rFonts w:ascii="Arial" w:eastAsia="Arial" w:hAnsi="Arial" w:cs="Arial"/>
          <w:sz w:val="28"/>
          <w:szCs w:val="28"/>
        </w:rPr>
        <w:t>Summary</w:t>
      </w:r>
    </w:p>
    <w:p w14:paraId="744E4515"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Editor's note: This section captures the conclusion of feasibility.</w:t>
      </w:r>
    </w:p>
    <w:p w14:paraId="758D7237"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highlight w:val="yellow"/>
        </w:rPr>
        <w:t xml:space="preserve"> </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5FD19E76" w14:textId="5796C285" w:rsidR="00A45D70" w:rsidRPr="00BD7187" w:rsidRDefault="0B302ED9" w:rsidP="00BD7187">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sectPr w:rsidR="00A45D70" w:rsidRPr="00BD71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870E" w14:textId="77777777" w:rsidR="001447A9" w:rsidRDefault="001447A9" w:rsidP="003E3A63">
      <w:pPr>
        <w:spacing w:after="0" w:line="240" w:lineRule="auto"/>
      </w:pPr>
      <w:r>
        <w:separator/>
      </w:r>
    </w:p>
  </w:endnote>
  <w:endnote w:type="continuationSeparator" w:id="0">
    <w:p w14:paraId="70BE6818" w14:textId="77777777" w:rsidR="001447A9" w:rsidRDefault="001447A9" w:rsidP="003E3A63">
      <w:pPr>
        <w:spacing w:after="0" w:line="240" w:lineRule="auto"/>
      </w:pPr>
      <w:r>
        <w:continuationSeparator/>
      </w:r>
    </w:p>
  </w:endnote>
  <w:endnote w:type="continuationNotice" w:id="1">
    <w:p w14:paraId="1676B66A" w14:textId="77777777" w:rsidR="001447A9" w:rsidRDefault="00144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7F0DE" w14:textId="77777777" w:rsidR="001447A9" w:rsidRDefault="001447A9" w:rsidP="003E3A63">
      <w:pPr>
        <w:spacing w:after="0" w:line="240" w:lineRule="auto"/>
      </w:pPr>
      <w:r>
        <w:separator/>
      </w:r>
    </w:p>
  </w:footnote>
  <w:footnote w:type="continuationSeparator" w:id="0">
    <w:p w14:paraId="5E31F9F4" w14:textId="77777777" w:rsidR="001447A9" w:rsidRDefault="001447A9" w:rsidP="003E3A63">
      <w:pPr>
        <w:spacing w:after="0" w:line="240" w:lineRule="auto"/>
      </w:pPr>
      <w:r>
        <w:continuationSeparator/>
      </w:r>
    </w:p>
  </w:footnote>
  <w:footnote w:type="continuationNotice" w:id="1">
    <w:p w14:paraId="77A30C85" w14:textId="77777777" w:rsidR="001447A9" w:rsidRDefault="001447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1"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2"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3"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4"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28"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29"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0"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1"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16cid:durableId="917133243">
    <w:abstractNumId w:val="28"/>
  </w:num>
  <w:num w:numId="2" w16cid:durableId="26175998">
    <w:abstractNumId w:val="18"/>
  </w:num>
  <w:num w:numId="3" w16cid:durableId="146484165">
    <w:abstractNumId w:val="30"/>
  </w:num>
  <w:num w:numId="4" w16cid:durableId="828247476">
    <w:abstractNumId w:val="15"/>
  </w:num>
  <w:num w:numId="5" w16cid:durableId="1725367723">
    <w:abstractNumId w:val="5"/>
  </w:num>
  <w:num w:numId="6" w16cid:durableId="74590725">
    <w:abstractNumId w:val="12"/>
  </w:num>
  <w:num w:numId="7" w16cid:durableId="449936999">
    <w:abstractNumId w:val="17"/>
  </w:num>
  <w:num w:numId="8" w16cid:durableId="65302514">
    <w:abstractNumId w:val="24"/>
  </w:num>
  <w:num w:numId="9" w16cid:durableId="1775443051">
    <w:abstractNumId w:val="25"/>
  </w:num>
  <w:num w:numId="10" w16cid:durableId="924997988">
    <w:abstractNumId w:val="26"/>
  </w:num>
  <w:num w:numId="11" w16cid:durableId="922297852">
    <w:abstractNumId w:val="0"/>
  </w:num>
  <w:num w:numId="12" w16cid:durableId="878051677">
    <w:abstractNumId w:val="31"/>
  </w:num>
  <w:num w:numId="13" w16cid:durableId="1226406105">
    <w:abstractNumId w:val="10"/>
  </w:num>
  <w:num w:numId="14" w16cid:durableId="1711416565">
    <w:abstractNumId w:val="19"/>
  </w:num>
  <w:num w:numId="15" w16cid:durableId="650526030">
    <w:abstractNumId w:val="1"/>
  </w:num>
  <w:num w:numId="16" w16cid:durableId="937833541">
    <w:abstractNumId w:val="16"/>
  </w:num>
  <w:num w:numId="17" w16cid:durableId="1215659589">
    <w:abstractNumId w:val="32"/>
  </w:num>
  <w:num w:numId="18" w16cid:durableId="910695197">
    <w:abstractNumId w:val="14"/>
  </w:num>
  <w:num w:numId="19" w16cid:durableId="337781236">
    <w:abstractNumId w:val="8"/>
  </w:num>
  <w:num w:numId="20" w16cid:durableId="1522353957">
    <w:abstractNumId w:val="29"/>
  </w:num>
  <w:num w:numId="21" w16cid:durableId="1290210842">
    <w:abstractNumId w:val="20"/>
  </w:num>
  <w:num w:numId="22" w16cid:durableId="256518740">
    <w:abstractNumId w:val="22"/>
  </w:num>
  <w:num w:numId="23" w16cid:durableId="1269896351">
    <w:abstractNumId w:val="11"/>
  </w:num>
  <w:num w:numId="24" w16cid:durableId="568156183">
    <w:abstractNumId w:val="7"/>
  </w:num>
  <w:num w:numId="25" w16cid:durableId="276177801">
    <w:abstractNumId w:val="9"/>
  </w:num>
  <w:num w:numId="26" w16cid:durableId="1286079670">
    <w:abstractNumId w:val="23"/>
  </w:num>
  <w:num w:numId="27" w16cid:durableId="587153053">
    <w:abstractNumId w:val="4"/>
  </w:num>
  <w:num w:numId="28" w16cid:durableId="1863010790">
    <w:abstractNumId w:val="13"/>
  </w:num>
  <w:num w:numId="29" w16cid:durableId="1282611172">
    <w:abstractNumId w:val="27"/>
  </w:num>
  <w:num w:numId="30" w16cid:durableId="848953869">
    <w:abstractNumId w:val="3"/>
  </w:num>
  <w:num w:numId="31" w16cid:durableId="1616600316">
    <w:abstractNumId w:val="2"/>
  </w:num>
  <w:num w:numId="32" w16cid:durableId="385685419">
    <w:abstractNumId w:val="21"/>
  </w:num>
  <w:num w:numId="33" w16cid:durableId="1368867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42473"/>
    <w:rsid w:val="000541A3"/>
    <w:rsid w:val="0006441C"/>
    <w:rsid w:val="00082C34"/>
    <w:rsid w:val="000A2BAC"/>
    <w:rsid w:val="001219D9"/>
    <w:rsid w:val="001447A9"/>
    <w:rsid w:val="00162575"/>
    <w:rsid w:val="00183DC8"/>
    <w:rsid w:val="00185CC2"/>
    <w:rsid w:val="001A06AE"/>
    <w:rsid w:val="001D11B0"/>
    <w:rsid w:val="001E18E0"/>
    <w:rsid w:val="00211A56"/>
    <w:rsid w:val="00231516"/>
    <w:rsid w:val="00237741"/>
    <w:rsid w:val="002624E9"/>
    <w:rsid w:val="0027005B"/>
    <w:rsid w:val="002B0E92"/>
    <w:rsid w:val="002F6E98"/>
    <w:rsid w:val="003360CC"/>
    <w:rsid w:val="003B2250"/>
    <w:rsid w:val="003C19E7"/>
    <w:rsid w:val="003E3A63"/>
    <w:rsid w:val="003E5669"/>
    <w:rsid w:val="004A2771"/>
    <w:rsid w:val="004B4C27"/>
    <w:rsid w:val="004E01DB"/>
    <w:rsid w:val="004E0BE9"/>
    <w:rsid w:val="005365E6"/>
    <w:rsid w:val="00585A9F"/>
    <w:rsid w:val="005973BC"/>
    <w:rsid w:val="005A2FB2"/>
    <w:rsid w:val="005B78FC"/>
    <w:rsid w:val="005D2D0D"/>
    <w:rsid w:val="005E6693"/>
    <w:rsid w:val="005F1494"/>
    <w:rsid w:val="00603AF4"/>
    <w:rsid w:val="00627C3D"/>
    <w:rsid w:val="00644231"/>
    <w:rsid w:val="00672FEA"/>
    <w:rsid w:val="006F11A9"/>
    <w:rsid w:val="007902B2"/>
    <w:rsid w:val="0079555A"/>
    <w:rsid w:val="007A4950"/>
    <w:rsid w:val="007B4C55"/>
    <w:rsid w:val="008242CD"/>
    <w:rsid w:val="00826FF2"/>
    <w:rsid w:val="008438E6"/>
    <w:rsid w:val="00895676"/>
    <w:rsid w:val="008A4036"/>
    <w:rsid w:val="008A6565"/>
    <w:rsid w:val="008E15E4"/>
    <w:rsid w:val="008F4957"/>
    <w:rsid w:val="00A45D70"/>
    <w:rsid w:val="00AF017B"/>
    <w:rsid w:val="00B15D31"/>
    <w:rsid w:val="00B501F0"/>
    <w:rsid w:val="00B51656"/>
    <w:rsid w:val="00B66CE9"/>
    <w:rsid w:val="00B90414"/>
    <w:rsid w:val="00BD7187"/>
    <w:rsid w:val="00C23B95"/>
    <w:rsid w:val="00C318B6"/>
    <w:rsid w:val="00C32AD3"/>
    <w:rsid w:val="00C7666E"/>
    <w:rsid w:val="00CF361C"/>
    <w:rsid w:val="00D31F9A"/>
    <w:rsid w:val="00D62477"/>
    <w:rsid w:val="00DB6C80"/>
    <w:rsid w:val="00DD043D"/>
    <w:rsid w:val="00DE1F0F"/>
    <w:rsid w:val="00DE26F6"/>
    <w:rsid w:val="00E36FB6"/>
    <w:rsid w:val="00E95DA9"/>
    <w:rsid w:val="00ED23F9"/>
    <w:rsid w:val="00ED2A39"/>
    <w:rsid w:val="00EF3CA2"/>
    <w:rsid w:val="00F062F5"/>
    <w:rsid w:val="00F15747"/>
    <w:rsid w:val="00F67BFE"/>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7B4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C55"/>
  </w:style>
  <w:style w:type="paragraph" w:styleId="Footer">
    <w:name w:val="footer"/>
    <w:basedOn w:val="Normal"/>
    <w:link w:val="FooterChar"/>
    <w:uiPriority w:val="99"/>
    <w:unhideWhenUsed/>
    <w:rsid w:val="007B4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C55"/>
  </w:style>
  <w:style w:type="paragraph" w:styleId="Revision">
    <w:name w:val="Revision"/>
    <w:hidden/>
    <w:uiPriority w:val="99"/>
    <w:semiHidden/>
    <w:rsid w:val="004B4C27"/>
    <w:pPr>
      <w:spacing w:after="0" w:line="240" w:lineRule="auto"/>
    </w:pPr>
  </w:style>
  <w:style w:type="character" w:styleId="CommentReference">
    <w:name w:val="annotation reference"/>
    <w:basedOn w:val="DefaultParagraphFont"/>
    <w:uiPriority w:val="99"/>
    <w:semiHidden/>
    <w:unhideWhenUsed/>
    <w:rsid w:val="00CF361C"/>
    <w:rPr>
      <w:sz w:val="16"/>
      <w:szCs w:val="16"/>
    </w:rPr>
  </w:style>
  <w:style w:type="paragraph" w:styleId="CommentText">
    <w:name w:val="annotation text"/>
    <w:basedOn w:val="Normal"/>
    <w:link w:val="CommentTextChar"/>
    <w:uiPriority w:val="99"/>
    <w:semiHidden/>
    <w:unhideWhenUsed/>
    <w:rsid w:val="00CF361C"/>
    <w:pPr>
      <w:spacing w:line="240" w:lineRule="auto"/>
    </w:pPr>
    <w:rPr>
      <w:sz w:val="20"/>
      <w:szCs w:val="20"/>
    </w:rPr>
  </w:style>
  <w:style w:type="character" w:customStyle="1" w:styleId="CommentTextChar">
    <w:name w:val="Comment Text Char"/>
    <w:basedOn w:val="DefaultParagraphFont"/>
    <w:link w:val="CommentText"/>
    <w:uiPriority w:val="99"/>
    <w:semiHidden/>
    <w:rsid w:val="00CF361C"/>
    <w:rPr>
      <w:sz w:val="20"/>
      <w:szCs w:val="20"/>
    </w:rPr>
  </w:style>
  <w:style w:type="paragraph" w:styleId="CommentSubject">
    <w:name w:val="annotation subject"/>
    <w:basedOn w:val="CommentText"/>
    <w:next w:val="CommentText"/>
    <w:link w:val="CommentSubjectChar"/>
    <w:uiPriority w:val="99"/>
    <w:semiHidden/>
    <w:unhideWhenUsed/>
    <w:rsid w:val="00CF361C"/>
    <w:rPr>
      <w:b/>
      <w:bCs/>
    </w:rPr>
  </w:style>
  <w:style w:type="character" w:customStyle="1" w:styleId="CommentSubjectChar">
    <w:name w:val="Comment Subject Char"/>
    <w:basedOn w:val="CommentTextChar"/>
    <w:link w:val="CommentSubject"/>
    <w:uiPriority w:val="99"/>
    <w:semiHidden/>
    <w:rsid w:val="00CF361C"/>
    <w:rPr>
      <w:b/>
      <w:bCs/>
      <w:sz w:val="20"/>
      <w:szCs w:val="20"/>
    </w:rPr>
  </w:style>
  <w:style w:type="paragraph" w:styleId="BalloonText">
    <w:name w:val="Balloon Text"/>
    <w:basedOn w:val="Normal"/>
    <w:link w:val="BalloonTextChar"/>
    <w:uiPriority w:val="99"/>
    <w:semiHidden/>
    <w:unhideWhenUsed/>
    <w:rsid w:val="0006441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6441C"/>
    <w:rPr>
      <w:sz w:val="18"/>
      <w:szCs w:val="18"/>
    </w:rPr>
  </w:style>
  <w:style w:type="paragraph" w:customStyle="1" w:styleId="CRCoverPage">
    <w:name w:val="CR Cover Page"/>
    <w:link w:val="CRCoverPageChar"/>
    <w:qFormat/>
    <w:rsid w:val="00DB6C80"/>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B6C80"/>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2023-05-15T12:04:00Z</dcterms:created>
  <dcterms:modified xsi:type="dcterms:W3CDTF">2023-05-15T13:12:00Z</dcterms:modified>
</cp:coreProperties>
</file>